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962.xml.htm"/>
      <w:bookmarkStart w:id="1" w:name="kswkform4_17866519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Goldstein Brian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INNOVATE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 MADISON AVENUE, 12TH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INNOVATE Corp.</w:t>
              </w:r>
            </w:hyperlink>
            <w:r>
              <w:rPr/>
              <w:t xml:space="preserve"> [ </w:t>
            </w:r>
            <w:r>
              <w:rPr>
                <w:rFonts w:ascii="Times;serif" w:hAnsi="Times;serif"/>
                <w:color w:val="0000FF"/>
                <w:sz w:val="24"/>
                <w:shd w:fill="FFFFFF" w:val="clear"/>
              </w:rPr>
              <w:t>VATE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60,999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restricted stock granted pursuant to the INNOVATE Corp. Second Amended and Restated 2014 Omnibus Equity Award Plan, as amended (the "Plan"). The shares will vest and become non-forfeitable on the earlier of (i) the first anniversary of the grant date and (ii) the first regular annual meeting of the Company's stockholders that occurs following the date of grant (subject to continued service with the Company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S. Goldstein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6689" TargetMode="External"/><Relationship Id="rId5" Type="http://schemas.openxmlformats.org/officeDocument/2006/relationships/hyperlink" Target="http://www.sec.gov/cgi-bin/browse-edgar?action=getcompany&amp;CIK=00010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3452</Characters>
  <CharactersWithSpaces>4022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