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84.xml.htm"/>
      <w:bookmarkStart w:id="1" w:name="kswkform4_17866519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Sena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INNOVATE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 MADISON AVENUE, 12TH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INNOVATE Corp.</w:t>
              </w:r>
            </w:hyperlink>
            <w:r>
              <w:rPr/>
              <w:t xml:space="preserve"> [ </w:t>
            </w:r>
            <w:r>
              <w:rPr>
                <w:rFonts w:ascii="Times;serif" w:hAnsi="Times;serif"/>
                <w:color w:val="0000FF"/>
                <w:sz w:val="24"/>
                <w:shd w:fill="FFFFFF" w:val="clear"/>
              </w:rPr>
              <w:t>VATE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Corporate Secretary</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131,558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restricted stock granted pursuant to the INNOVATE Corp. Second Amended and Restated 2014 Omnibus Equity Award Plan, as amended (the "Plan"). Shares will vest and become exercisable in three installments of one-third each on the first, second and third anniversaries of the Date of Grant (each a "Vesting Date"), subject to the continued employment of the Reporting Person on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Sena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2966" TargetMode="External"/><Relationship Id="rId5" Type="http://schemas.openxmlformats.org/officeDocument/2006/relationships/hyperlink" Target="http://www.sec.gov/cgi-bin/browse-edgar?action=getcompany&amp;CIK=00010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3439</Characters>
  <CharactersWithSpaces>4006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